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47" w:rsidRDefault="00D81226" w:rsidP="00850031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lang w:val="es-ES"/>
        </w:rPr>
      </w:pPr>
      <w:r w:rsidRPr="00D81226">
        <w:rPr>
          <w:rFonts w:ascii="Calibri" w:eastAsia="Calibri" w:hAnsi="Calibri" w:cs="Times New Roman"/>
          <w:b/>
          <w:noProof/>
          <w:sz w:val="36"/>
          <w:lang w:eastAsia="es-MX"/>
        </w:rPr>
        <w:drawing>
          <wp:inline distT="0" distB="0" distL="0" distR="0" wp14:anchorId="3857F9FC" wp14:editId="221E1084">
            <wp:extent cx="940279" cy="716403"/>
            <wp:effectExtent l="0" t="0" r="0" b="7620"/>
            <wp:docPr id="5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8" t="24611" r="39542" b="54055"/>
                    <a:stretch/>
                  </pic:blipFill>
                  <pic:spPr>
                    <a:xfrm>
                      <a:off x="0" y="0"/>
                      <a:ext cx="942180" cy="71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07" w:rsidRDefault="00536007" w:rsidP="003D405F">
      <w:pPr>
        <w:spacing w:after="0" w:line="240" w:lineRule="auto"/>
        <w:jc w:val="center"/>
        <w:rPr>
          <w:rFonts w:ascii="Arial" w:eastAsia="Calibri" w:hAnsi="Arial" w:cs="Arial"/>
          <w:b/>
          <w:sz w:val="24"/>
          <w:lang w:val="es-ES"/>
        </w:rPr>
      </w:pPr>
    </w:p>
    <w:p w:rsidR="00536007" w:rsidRPr="00536007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4"/>
          <w:lang w:val="es-ES"/>
        </w:rPr>
      </w:pPr>
      <w:r>
        <w:rPr>
          <w:rFonts w:ascii="Arial" w:eastAsia="Calibri" w:hAnsi="Arial" w:cs="Arial"/>
          <w:b/>
          <w:sz w:val="24"/>
          <w:lang w:val="es-ES"/>
        </w:rPr>
        <w:t>COMISIÓN DE MEJORA REGULATORIA DEL MUNICIPIO DE QUERÉTARO</w:t>
      </w:r>
    </w:p>
    <w:p w:rsidR="00536007" w:rsidRPr="00C40ACF" w:rsidRDefault="00536007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AB5014" w:rsidRDefault="00850031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36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FORMULARIO DE </w:t>
      </w:r>
      <w:r w:rsidR="00AB5014">
        <w:rPr>
          <w:rFonts w:ascii="Arial" w:eastAsia="Calibri" w:hAnsi="Arial" w:cs="Arial"/>
          <w:b/>
          <w:sz w:val="36"/>
          <w:lang w:val="es-ES"/>
        </w:rPr>
        <w:t>EXENCIÓN</w:t>
      </w:r>
    </w:p>
    <w:p w:rsidR="003D405F" w:rsidRPr="00A563DA" w:rsidRDefault="00AB5014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36"/>
          <w:lang w:val="es-ES"/>
        </w:rPr>
        <w:t xml:space="preserve">DE </w:t>
      </w:r>
      <w:r w:rsidR="00850031">
        <w:rPr>
          <w:rFonts w:ascii="Arial" w:eastAsia="Calibri" w:hAnsi="Arial" w:cs="Arial"/>
          <w:b/>
          <w:sz w:val="36"/>
          <w:lang w:val="es-ES"/>
        </w:rPr>
        <w:t>ANÁLISIS DE IMPACTO REGULATORIO</w:t>
      </w:r>
    </w:p>
    <w:p w:rsidR="003D405F" w:rsidRPr="00A563DA" w:rsidRDefault="003D405F" w:rsidP="001A5471">
      <w:pPr>
        <w:spacing w:before="100" w:beforeAutospacing="1" w:after="100" w:afterAutospacing="1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536007" w:rsidRDefault="003D405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sz w:val="20"/>
          <w:lang w:val="es-ES"/>
        </w:rPr>
      </w:pPr>
      <w:r w:rsidRPr="00536007">
        <w:rPr>
          <w:rFonts w:ascii="Arial" w:eastAsia="Calibri" w:hAnsi="Arial" w:cs="Arial"/>
          <w:b/>
          <w:sz w:val="20"/>
          <w:lang w:val="es-ES"/>
        </w:rPr>
        <w:t>Notas:</w:t>
      </w:r>
    </w:p>
    <w:p w:rsidR="001A5471" w:rsidRPr="00536007" w:rsidRDefault="001A5471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sz w:val="20"/>
          <w:lang w:val="es-ES"/>
        </w:rPr>
      </w:pPr>
    </w:p>
    <w:p w:rsidR="00850031" w:rsidRDefault="00850031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bookmarkStart w:id="0" w:name="_Hlk512868155"/>
      <w:r>
        <w:rPr>
          <w:rFonts w:ascii="Arial" w:eastAsia="Calibri" w:hAnsi="Arial" w:cs="Arial"/>
          <w:i/>
          <w:sz w:val="20"/>
          <w:lang w:val="es-ES"/>
        </w:rPr>
        <w:t xml:space="preserve">Este formulario debe completarse </w:t>
      </w:r>
      <w:r w:rsidR="003B34E3">
        <w:rPr>
          <w:rFonts w:ascii="Arial" w:eastAsia="Calibri" w:hAnsi="Arial" w:cs="Arial"/>
          <w:i/>
          <w:sz w:val="20"/>
          <w:lang w:val="es-ES"/>
        </w:rPr>
        <w:t xml:space="preserve">totalmente </w:t>
      </w:r>
      <w:r>
        <w:rPr>
          <w:rFonts w:ascii="Arial" w:eastAsia="Calibri" w:hAnsi="Arial" w:cs="Arial"/>
          <w:i/>
          <w:sz w:val="20"/>
          <w:lang w:val="es-ES"/>
        </w:rPr>
        <w:t xml:space="preserve">por </w:t>
      </w:r>
      <w:r w:rsidR="003B34E3">
        <w:rPr>
          <w:rFonts w:ascii="Arial" w:eastAsia="Calibri" w:hAnsi="Arial" w:cs="Arial"/>
          <w:i/>
          <w:sz w:val="20"/>
          <w:lang w:val="es-ES"/>
        </w:rPr>
        <w:t>la dependencia promotora de la regulación.</w:t>
      </w:r>
    </w:p>
    <w:p w:rsidR="00850031" w:rsidRDefault="00F64E4B" w:rsidP="001A5471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>El presente formulario no deberá ser modificado en su estructura o formato sin la autorización de la Comisión de Mejora Regulatoria del Municipio de Querétaro.</w:t>
      </w:r>
    </w:p>
    <w:p w:rsidR="003B34E3" w:rsidRDefault="003B34E3" w:rsidP="003B34E3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  <w:r>
        <w:rPr>
          <w:rFonts w:ascii="Arial" w:eastAsia="Calibri" w:hAnsi="Arial" w:cs="Arial"/>
          <w:i/>
          <w:sz w:val="20"/>
          <w:lang w:val="es-ES"/>
        </w:rPr>
        <w:t xml:space="preserve">Todos los datos y consideraciones que se viertan en el presente Formulario deben ser verídicos, razonables y son de la estricta responsabilidad de la dependencia que los presenta. </w:t>
      </w:r>
    </w:p>
    <w:p w:rsidR="00E51912" w:rsidRPr="000510D8" w:rsidRDefault="00E51912" w:rsidP="00E51912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i/>
          <w:sz w:val="20"/>
          <w:lang w:val="es-ES"/>
        </w:rPr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3252"/>
        <w:gridCol w:w="6664"/>
      </w:tblGrid>
      <w:tr w:rsidR="003D405F" w:rsidRPr="003F7E1D" w:rsidTr="00850031">
        <w:trPr>
          <w:cantSplit/>
          <w:tblCellSpacing w:w="11" w:type="dxa"/>
          <w:jc w:val="center"/>
        </w:trPr>
        <w:tc>
          <w:tcPr>
            <w:tcW w:w="9872" w:type="dxa"/>
            <w:gridSpan w:val="2"/>
            <w:shd w:val="clear" w:color="auto" w:fill="000000" w:themeFill="text1"/>
          </w:tcPr>
          <w:p w:rsidR="00536007" w:rsidRPr="009C6310" w:rsidRDefault="00536007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  <w:bookmarkStart w:id="1" w:name="_Hlk489624066"/>
            <w:bookmarkEnd w:id="0"/>
          </w:p>
          <w:p w:rsidR="00536007" w:rsidRDefault="00850031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SECCIÓN </w:t>
            </w:r>
            <w:r w:rsidR="003D405F" w:rsidRPr="009C6310"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 xml:space="preserve">1. </w:t>
            </w:r>
            <w:r>
              <w:rPr>
                <w:rFonts w:ascii="Arial" w:eastAsia="Calibri" w:hAnsi="Arial" w:cs="Arial"/>
                <w:b/>
                <w:color w:val="FFFFFF"/>
                <w:szCs w:val="20"/>
                <w:lang w:val="es-ES"/>
              </w:rPr>
              <w:t>DATOS GENERALES</w:t>
            </w:r>
          </w:p>
          <w:p w:rsidR="00850031" w:rsidRP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3D405F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8E255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 la r</w:t>
            </w:r>
            <w:r w:rsidR="00850031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 propuesta:</w:t>
            </w:r>
          </w:p>
          <w:p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0510D8" w:rsidRPr="00F64E4B" w:rsidRDefault="00B60B7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REGLAMENTO PARA FOMENTAR Y PROTEGER LOS DERECHOS DE LAS PERSONAS CON DISCAPACIDAD EN EL MUNICIPIO DE QUERÉTARO</w:t>
            </w:r>
          </w:p>
        </w:tc>
      </w:tr>
      <w:tr w:rsidR="003D405F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9C6310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de</w:t>
            </w:r>
            <w:r w:rsidR="003B34E3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 xml:space="preserve"> la Dependencia que propone la r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egulación:</w:t>
            </w:r>
          </w:p>
          <w:p w:rsidR="003B34E3" w:rsidRPr="001E4DD8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3D405F" w:rsidRPr="00B66C3A" w:rsidRDefault="00B60B7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SECR</w:t>
            </w:r>
            <w:r w:rsidR="00836B96">
              <w:rPr>
                <w:rFonts w:ascii="Arial" w:eastAsia="Calibri" w:hAnsi="Arial" w:cs="Arial"/>
                <w:sz w:val="20"/>
                <w:szCs w:val="20"/>
                <w:lang w:val="es-ES"/>
              </w:rPr>
              <w:t>ETA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RÍA DE DESARROLLO HUMANO Y SOCIAL</w:t>
            </w:r>
          </w:p>
        </w:tc>
      </w:tr>
      <w:tr w:rsidR="004F00D8" w:rsidRPr="009C6310" w:rsidTr="00417C9D">
        <w:trPr>
          <w:cantSplit/>
          <w:tblCellSpacing w:w="11" w:type="dxa"/>
          <w:jc w:val="center"/>
        </w:trPr>
        <w:tc>
          <w:tcPr>
            <w:tcW w:w="3219" w:type="dxa"/>
            <w:shd w:val="clear" w:color="auto" w:fill="D9D9D9" w:themeFill="background1" w:themeFillShade="D9"/>
            <w:vAlign w:val="center"/>
          </w:tcPr>
          <w:p w:rsidR="003B34E3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4F00D8" w:rsidRDefault="00850031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Nombre y Cargo del Enlace de Mejora Regulatoria de la Dependencia:</w:t>
            </w:r>
          </w:p>
          <w:p w:rsidR="003B34E3" w:rsidRPr="00B66C3A" w:rsidRDefault="003B34E3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631" w:type="dxa"/>
            <w:vAlign w:val="center"/>
          </w:tcPr>
          <w:p w:rsidR="004F00D8" w:rsidRPr="00B66C3A" w:rsidRDefault="00B60B7D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M.EN A.EDUARDO TORES ESCOTO/COORDINADOR TÉCNICO/SECRETARÍA DE DESARROLLO HUMANO Y SOCIAL</w:t>
            </w:r>
          </w:p>
        </w:tc>
      </w:tr>
    </w:tbl>
    <w:p w:rsidR="00417C9D" w:rsidRDefault="00417C9D" w:rsidP="00417C9D">
      <w:pPr>
        <w:spacing w:after="0" w:line="240" w:lineRule="auto"/>
      </w:pPr>
    </w:p>
    <w:p w:rsidR="00873749" w:rsidRDefault="00873749" w:rsidP="00417C9D">
      <w:pPr>
        <w:spacing w:after="0" w:line="240" w:lineRule="auto"/>
      </w:pPr>
    </w:p>
    <w:tbl>
      <w:tblPr>
        <w:tblStyle w:val="Tablaconcuadrcula1"/>
        <w:tblW w:w="0" w:type="auto"/>
        <w:jc w:val="center"/>
        <w:tblCellSpacing w:w="11" w:type="dxa"/>
        <w:tblLook w:val="04A0" w:firstRow="1" w:lastRow="0" w:firstColumn="1" w:lastColumn="0" w:noHBand="0" w:noVBand="1"/>
      </w:tblPr>
      <w:tblGrid>
        <w:gridCol w:w="9916"/>
      </w:tblGrid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000000" w:themeFill="text1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SECCIÓN 2. DEFINICIÓN DE LA PROBL</w:t>
            </w:r>
            <w:r w:rsidR="0040303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E</w:t>
            </w:r>
            <w:r w:rsidRPr="00873749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MÁTICA Y OBJETIVOS DE LA REGULACIÓN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color w:val="FFFFFF" w:themeColor="background1"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  <w:t>Indique cuál es la problemática identificada por lo cual se pretende emitir la regulación: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873749" w:rsidRDefault="00836B96" w:rsidP="007466E1">
            <w:pPr>
              <w:spacing w:before="100" w:beforeAutospacing="1" w:after="100" w:afterAutospacing="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El cambio de adscripción del INMUPRED </w:t>
            </w:r>
            <w:r w:rsidR="007466E1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de la Coordinación de Delegaciones e Institutos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a la </w:t>
            </w:r>
            <w:r w:rsidR="007466E1">
              <w:rPr>
                <w:rFonts w:ascii="Arial" w:eastAsia="Calibri" w:hAnsi="Arial" w:cs="Arial"/>
                <w:sz w:val="20"/>
                <w:szCs w:val="20"/>
                <w:lang w:val="es-ES"/>
              </w:rPr>
              <w:t>Secretaría de Desarrollo Humano y Social así como l</w:t>
            </w:r>
            <w:r w:rsidR="005544F9">
              <w:rPr>
                <w:rFonts w:ascii="Arial" w:eastAsia="Calibri" w:hAnsi="Arial" w:cs="Arial"/>
                <w:sz w:val="20"/>
                <w:szCs w:val="20"/>
                <w:lang w:val="es-ES"/>
              </w:rPr>
              <w:t>a inoperatividad del Consejo M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unicipal para Personas con</w:t>
            </w:r>
            <w:r w:rsidR="005544F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Discapacidad mismo que se </w:t>
            </w:r>
            <w:r w:rsidR="005544F9"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encuentra regulado en el presente ordenamiento legal. </w:t>
            </w:r>
          </w:p>
          <w:p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D9D9D9" w:themeFill="background1" w:themeFillShade="D9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73749">
              <w:rPr>
                <w:rFonts w:ascii="Arial" w:eastAsia="Calibri" w:hAnsi="Arial" w:cs="Arial"/>
                <w:b/>
                <w:sz w:val="20"/>
                <w:szCs w:val="20"/>
              </w:rPr>
              <w:t>Indique cuáles son los objetivos que se pretenden conseguir con la emisión de la regulación:</w:t>
            </w:r>
          </w:p>
          <w:p w:rsidR="00873749" w:rsidRP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73749" w:rsidRPr="009C6310" w:rsidTr="00873749">
        <w:trPr>
          <w:cantSplit/>
          <w:tblCellSpacing w:w="11" w:type="dxa"/>
          <w:jc w:val="center"/>
        </w:trPr>
        <w:tc>
          <w:tcPr>
            <w:tcW w:w="9872" w:type="dxa"/>
            <w:shd w:val="clear" w:color="auto" w:fill="auto"/>
            <w:vAlign w:val="center"/>
          </w:tcPr>
          <w:p w:rsidR="00873749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  <w:p w:rsidR="00873749" w:rsidRDefault="005544F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Que se modifique el cambio de adscripción del INMUPRED de la Coordinación de Delegaciones e Institutos Desconcentrados a la </w:t>
            </w:r>
            <w:r w:rsidR="00836B96">
              <w:rPr>
                <w:rFonts w:ascii="Arial" w:eastAsia="Calibri" w:hAnsi="Arial" w:cs="Arial"/>
                <w:sz w:val="20"/>
                <w:szCs w:val="20"/>
                <w:lang w:val="es-ES"/>
              </w:rPr>
              <w:t>Secretaría de Desarrollo Humano y Social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>, así como el que se realice la modificaci</w:t>
            </w:r>
            <w:r w:rsidR="00836B96">
              <w:rPr>
                <w:rFonts w:ascii="Arial" w:eastAsia="Calibri" w:hAnsi="Arial" w:cs="Arial"/>
                <w:sz w:val="20"/>
                <w:szCs w:val="20"/>
                <w:lang w:val="es-ES"/>
              </w:rPr>
              <w:t>ón a</w:t>
            </w:r>
            <w:r>
              <w:rPr>
                <w:rFonts w:ascii="Arial" w:eastAsia="Calibri" w:hAnsi="Arial" w:cs="Arial"/>
                <w:sz w:val="20"/>
                <w:szCs w:val="20"/>
                <w:lang w:val="es-ES"/>
              </w:rPr>
              <w:t xml:space="preserve"> la integración de las personas integrantes del Consejo </w:t>
            </w:r>
            <w:r w:rsidR="007466E1">
              <w:rPr>
                <w:rFonts w:ascii="Arial" w:eastAsia="Calibri" w:hAnsi="Arial" w:cs="Arial"/>
                <w:sz w:val="20"/>
                <w:szCs w:val="20"/>
                <w:lang w:val="es-ES"/>
              </w:rPr>
              <w:t>Municipal para Personas con Discapacida</w:t>
            </w:r>
            <w:r w:rsidR="00051F6F">
              <w:rPr>
                <w:rFonts w:ascii="Arial" w:eastAsia="Calibri" w:hAnsi="Arial" w:cs="Arial"/>
                <w:sz w:val="20"/>
                <w:szCs w:val="20"/>
                <w:lang w:val="es-ES"/>
              </w:rPr>
              <w:t>d para su operatividad.</w:t>
            </w:r>
            <w:bookmarkStart w:id="2" w:name="_GoBack"/>
            <w:bookmarkEnd w:id="2"/>
          </w:p>
          <w:p w:rsidR="00873749" w:rsidRPr="00B66C3A" w:rsidRDefault="00873749" w:rsidP="00794253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sz w:val="20"/>
                <w:szCs w:val="20"/>
                <w:lang w:val="es-ES"/>
              </w:rPr>
            </w:pPr>
          </w:p>
        </w:tc>
      </w:tr>
    </w:tbl>
    <w:p w:rsidR="00873749" w:rsidRDefault="00873749"/>
    <w:p w:rsidR="0083292F" w:rsidRDefault="0083292F"/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r w:rsidRPr="00606C88">
        <w:rPr>
          <w:rFonts w:ascii="Arial" w:eastAsia="Calibri" w:hAnsi="Arial" w:cs="Arial"/>
        </w:rPr>
        <w:t xml:space="preserve">Mediante el presente formulario, y una vez que ha sido aplicada la herramienta de la Calculadora de Impacto Regulatorio, </w:t>
      </w:r>
      <w:r w:rsidR="00606C88" w:rsidRPr="00606C88">
        <w:rPr>
          <w:rFonts w:ascii="Arial" w:eastAsia="Calibri" w:hAnsi="Arial" w:cs="Arial"/>
        </w:rPr>
        <w:t xml:space="preserve">se </w:t>
      </w:r>
      <w:r w:rsidRPr="00606C88">
        <w:rPr>
          <w:rFonts w:ascii="Arial" w:eastAsia="Calibri" w:hAnsi="Arial" w:cs="Arial"/>
        </w:rPr>
        <w:t>solicit</w:t>
      </w:r>
      <w:r w:rsidR="00606C88" w:rsidRPr="00606C88">
        <w:rPr>
          <w:rFonts w:ascii="Arial" w:eastAsia="Calibri" w:hAnsi="Arial" w:cs="Arial"/>
        </w:rPr>
        <w:t>a</w:t>
      </w:r>
      <w:r w:rsidRPr="00606C88">
        <w:rPr>
          <w:rFonts w:ascii="Arial" w:eastAsia="Calibri" w:hAnsi="Arial" w:cs="Arial"/>
        </w:rPr>
        <w:t xml:space="preserve"> que se emita el correspondiente Dictamen de Exención de Análisis de Impacto Regulatorio, con el fin de contin</w:t>
      </w:r>
      <w:r w:rsidR="00606C88" w:rsidRPr="00606C88">
        <w:rPr>
          <w:rFonts w:ascii="Arial" w:eastAsia="Calibri" w:hAnsi="Arial" w:cs="Arial"/>
        </w:rPr>
        <w:t>u</w:t>
      </w:r>
      <w:r w:rsidRPr="00606C88">
        <w:rPr>
          <w:rFonts w:ascii="Arial" w:eastAsia="Calibri" w:hAnsi="Arial" w:cs="Arial"/>
        </w:rPr>
        <w:t>ar con el proceso de aprobación de la regulación ante el H. Ayuntamiento.</w:t>
      </w:r>
    </w:p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F100C5" w:rsidRPr="00606C88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  <w:r w:rsidRPr="00606C88">
        <w:rPr>
          <w:rFonts w:ascii="Arial" w:eastAsia="Calibri" w:hAnsi="Arial" w:cs="Arial"/>
        </w:rPr>
        <w:t xml:space="preserve">Se anexa al presente la correspondiente Constancia Preliminar de Impacto Regulatorio emitida por el SAIR, en la cual se indica que la </w:t>
      </w:r>
      <w:r w:rsidR="00606C88" w:rsidRPr="00606C88">
        <w:rPr>
          <w:rFonts w:ascii="Arial" w:eastAsia="Calibri" w:hAnsi="Arial" w:cs="Arial"/>
        </w:rPr>
        <w:t>r</w:t>
      </w:r>
      <w:r w:rsidRPr="00606C88">
        <w:rPr>
          <w:rFonts w:ascii="Arial" w:eastAsia="Calibri" w:hAnsi="Arial" w:cs="Arial"/>
        </w:rPr>
        <w:t>egulación</w:t>
      </w:r>
      <w:r w:rsidR="00606C88" w:rsidRPr="00606C88">
        <w:rPr>
          <w:rFonts w:ascii="Arial" w:eastAsia="Calibri" w:hAnsi="Arial" w:cs="Arial"/>
        </w:rPr>
        <w:t xml:space="preserve"> evaluada mediante la Calculadora de Impacto Regulatorio </w:t>
      </w:r>
      <w:r w:rsidRPr="00606C88">
        <w:rPr>
          <w:rFonts w:ascii="Arial" w:eastAsia="Calibri" w:hAnsi="Arial" w:cs="Arial"/>
        </w:rPr>
        <w:t>NO GENERA IMPACTO</w:t>
      </w:r>
      <w:r w:rsidR="00606C88" w:rsidRPr="00606C88">
        <w:rPr>
          <w:rFonts w:ascii="Arial" w:eastAsia="Calibri" w:hAnsi="Arial" w:cs="Arial"/>
        </w:rPr>
        <w:t>.</w:t>
      </w:r>
    </w:p>
    <w:p w:rsidR="00F100C5" w:rsidRDefault="00F100C5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</w:rPr>
      </w:pPr>
    </w:p>
    <w:p w:rsidR="00DD419B" w:rsidRDefault="00DD419B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b/>
          <w:lang w:val="es-ES"/>
        </w:rPr>
      </w:pPr>
    </w:p>
    <w:tbl>
      <w:tblPr>
        <w:tblStyle w:val="Tablaconcuadrcula1"/>
        <w:tblW w:w="9923" w:type="dxa"/>
        <w:tblCellSpacing w:w="11" w:type="dxa"/>
        <w:tblInd w:w="108" w:type="dxa"/>
        <w:tblLook w:val="04A0" w:firstRow="1" w:lastRow="0" w:firstColumn="1" w:lastColumn="0" w:noHBand="0" w:noVBand="1"/>
      </w:tblPr>
      <w:tblGrid>
        <w:gridCol w:w="3009"/>
        <w:gridCol w:w="6914"/>
      </w:tblGrid>
      <w:tr w:rsidR="003D405F" w:rsidRPr="00C62354" w:rsidTr="005167B9">
        <w:trPr>
          <w:cantSplit/>
          <w:tblCellSpacing w:w="11" w:type="dxa"/>
        </w:trPr>
        <w:tc>
          <w:tcPr>
            <w:tcW w:w="9879" w:type="dxa"/>
            <w:gridSpan w:val="2"/>
            <w:shd w:val="clear" w:color="auto" w:fill="000000" w:themeFill="text1"/>
          </w:tcPr>
          <w:p w:rsidR="00C62354" w:rsidRDefault="00C62354" w:rsidP="001A5471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"/>
              </w:rPr>
            </w:pPr>
          </w:p>
          <w:p w:rsidR="00201409" w:rsidRPr="001E4DD8" w:rsidRDefault="00B00BE8" w:rsidP="00556320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</w:pP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 xml:space="preserve">SECCIÓN </w:t>
            </w:r>
            <w:r w:rsidR="00606C88"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3</w:t>
            </w:r>
            <w:r>
              <w:rPr>
                <w:rFonts w:ascii="Arial" w:eastAsia="Calibri" w:hAnsi="Arial" w:cs="Arial"/>
                <w:b/>
                <w:color w:val="FFFFFF" w:themeColor="background1"/>
                <w:szCs w:val="20"/>
                <w:lang w:val="es-ES"/>
              </w:rPr>
              <w:t>. FIRMAS</w:t>
            </w:r>
          </w:p>
          <w:p w:rsidR="00C62354" w:rsidRPr="00C62354" w:rsidRDefault="00C62354" w:rsidP="00E05FD9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es-ES"/>
              </w:rPr>
            </w:pPr>
          </w:p>
        </w:tc>
      </w:tr>
      <w:tr w:rsidR="007B49A4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 w:rsidR="00B00BE8"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servidor público que elaboró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7B49A4" w:rsidRPr="001E4DD8" w:rsidRDefault="007B49A4" w:rsidP="001A5471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:rsidR="007B49A4" w:rsidRPr="00A51B90" w:rsidRDefault="00B60B7D" w:rsidP="00B60B7D">
            <w:pPr>
              <w:spacing w:before="100" w:beforeAutospacing="1" w:after="100" w:afterAutospacing="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LIC</w:t>
            </w:r>
            <w:r w:rsidRPr="00B60B7D">
              <w:rPr>
                <w:rFonts w:ascii="Arial" w:eastAsia="Calibri" w:hAnsi="Arial" w:cs="Arial"/>
                <w:sz w:val="20"/>
                <w:szCs w:val="20"/>
              </w:rPr>
              <w:t>. NOEMI DOLORES MONTERO AVILA/ ANALISTA DE ASESORÍA JURÍDICA</w:t>
            </w:r>
          </w:p>
        </w:tc>
      </w:tr>
      <w:tr w:rsidR="003D405F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7B49A4" w:rsidRPr="001E4DD8" w:rsidRDefault="007B49A4" w:rsidP="00A566CF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7B49A4" w:rsidRPr="00A51B90" w:rsidRDefault="007B49A4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E83CD0" w:rsidRPr="00A51B90" w:rsidRDefault="00E83CD0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3D405F" w:rsidRPr="00A51B90" w:rsidRDefault="003D405F" w:rsidP="00B00BE8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tr w:rsidR="00B00BE8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Nombre y cargo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del titular de la Dependencia</w:t>
            </w: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881" w:type="dxa"/>
            <w:vAlign w:val="center"/>
          </w:tcPr>
          <w:p w:rsidR="00B00BE8" w:rsidRPr="00A51B90" w:rsidRDefault="00B60B7D" w:rsidP="00B60B7D">
            <w:pPr>
              <w:spacing w:before="100" w:beforeAutospacing="1" w:after="100" w:afterAutospacing="1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  <w:r w:rsidRPr="00B60B7D">
              <w:rPr>
                <w:rFonts w:ascii="Arial" w:eastAsia="Calibri" w:hAnsi="Arial" w:cs="Arial"/>
                <w:sz w:val="20"/>
                <w:szCs w:val="20"/>
              </w:rPr>
              <w:t>C. RICARDO EDUARO YÁÑEZ LÓPEZ/DIRECTOR DEL INSTITUTO MUNICIPAL PARA PREVENIR Y ELIMINAR LA DISCRIMINACIÓN</w:t>
            </w:r>
          </w:p>
        </w:tc>
      </w:tr>
      <w:tr w:rsidR="00B00BE8" w:rsidRPr="00A51B90" w:rsidTr="00B00BE8">
        <w:trPr>
          <w:cantSplit/>
          <w:tblCellSpacing w:w="11" w:type="dxa"/>
        </w:trPr>
        <w:tc>
          <w:tcPr>
            <w:tcW w:w="2976" w:type="dxa"/>
            <w:shd w:val="clear" w:color="auto" w:fill="D9D9D9" w:themeFill="background1" w:themeFillShade="D9"/>
          </w:tcPr>
          <w:p w:rsidR="00B00BE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B00BE8" w:rsidRPr="001E4DD8" w:rsidRDefault="00B00BE8" w:rsidP="0061462D">
            <w:pPr>
              <w:spacing w:before="100" w:beforeAutospacing="1" w:after="100" w:afterAutospacing="1"/>
              <w:contextualSpacing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DD8">
              <w:rPr>
                <w:rFonts w:ascii="Arial" w:eastAsia="Calibri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881" w:type="dxa"/>
            <w:vAlign w:val="center"/>
          </w:tcPr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  <w:p w:rsidR="00B00BE8" w:rsidRPr="00A51B90" w:rsidRDefault="00B00BE8" w:rsidP="0061462D">
            <w:pPr>
              <w:spacing w:before="100" w:beforeAutospacing="1" w:after="100" w:afterAutospacing="1"/>
              <w:contextualSpacing/>
              <w:jc w:val="center"/>
              <w:rPr>
                <w:rFonts w:ascii="Arial" w:eastAsia="Calibri" w:hAnsi="Arial" w:cs="Arial"/>
                <w:sz w:val="20"/>
                <w:szCs w:val="20"/>
                <w:highlight w:val="yellow"/>
              </w:rPr>
            </w:pPr>
          </w:p>
        </w:tc>
      </w:tr>
      <w:bookmarkEnd w:id="1"/>
    </w:tbl>
    <w:p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5224BF" w:rsidRDefault="005224BF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386B2A" w:rsidRDefault="00386B2A" w:rsidP="001A5471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</w:rPr>
      </w:pPr>
    </w:p>
    <w:p w:rsidR="00DE5F59" w:rsidRPr="00004653" w:rsidRDefault="00DE5F59" w:rsidP="005B47EC">
      <w:pPr>
        <w:spacing w:before="100" w:beforeAutospacing="1" w:after="100" w:afterAutospacing="1" w:line="240" w:lineRule="auto"/>
        <w:contextualSpacing/>
        <w:jc w:val="both"/>
        <w:rPr>
          <w:rFonts w:ascii="Arial" w:eastAsia="Calibri" w:hAnsi="Arial" w:cs="Arial"/>
          <w:lang w:val="es-ES"/>
        </w:rPr>
      </w:pPr>
    </w:p>
    <w:sectPr w:rsidR="00DE5F59" w:rsidRPr="00004653" w:rsidSect="00837F9B">
      <w:footerReference w:type="default" r:id="rId10"/>
      <w:pgSz w:w="12240" w:h="15840"/>
      <w:pgMar w:top="667" w:right="1183" w:bottom="1417" w:left="1134" w:header="426" w:footer="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2FC" w:rsidRDefault="008732FC" w:rsidP="00F10EF5">
      <w:pPr>
        <w:spacing w:after="0" w:line="240" w:lineRule="auto"/>
      </w:pPr>
      <w:r>
        <w:separator/>
      </w:r>
    </w:p>
  </w:endnote>
  <w:endnote w:type="continuationSeparator" w:id="0">
    <w:p w:rsidR="008732FC" w:rsidRDefault="008732FC" w:rsidP="00F10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i/>
        <w:sz w:val="16"/>
        <w:szCs w:val="16"/>
      </w:rPr>
      <w:id w:val="-144993303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i/>
            <w:sz w:val="16"/>
            <w:szCs w:val="16"/>
          </w:rPr>
          <w:id w:val="1598448811"/>
          <w:docPartObj>
            <w:docPartGallery w:val="Page Numbers (Top of Page)"/>
            <w:docPartUnique/>
          </w:docPartObj>
        </w:sdtPr>
        <w:sdtEndPr/>
        <w:sdtContent>
          <w:p w:rsidR="00400858" w:rsidRDefault="00400858">
            <w:pPr>
              <w:pStyle w:val="Piedepgina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Página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PAGE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51F6F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  <w:r w:rsidRPr="00F10EF5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de 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begin"/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instrText>NUMPAGES</w:instrTex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separate"/>
            </w:r>
            <w:r w:rsidR="00051F6F">
              <w:rPr>
                <w:rFonts w:ascii="Arial" w:hAnsi="Arial" w:cs="Arial"/>
                <w:bCs/>
                <w:i/>
                <w:noProof/>
                <w:sz w:val="16"/>
                <w:szCs w:val="16"/>
              </w:rPr>
              <w:t>2</w:t>
            </w:r>
            <w:r w:rsidRPr="00F10EF5">
              <w:rPr>
                <w:rFonts w:ascii="Arial" w:hAnsi="Arial" w:cs="Arial"/>
                <w:bCs/>
                <w:i/>
                <w:sz w:val="16"/>
                <w:szCs w:val="16"/>
              </w:rPr>
              <w:fldChar w:fldCharType="end"/>
            </w:r>
          </w:p>
          <w:p w:rsidR="00400858" w:rsidRDefault="00400858" w:rsidP="00837F9B">
            <w:pPr>
              <w:pStyle w:val="Piedepgina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:rsidR="00400858" w:rsidRPr="00F10EF5" w:rsidRDefault="00400858" w:rsidP="00837F9B">
            <w:pPr>
              <w:pStyle w:val="Piedepgina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>FM-790</w:t>
            </w:r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600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-0</w:t>
            </w:r>
            <w:r w:rsidR="00606C88">
              <w:rPr>
                <w:rFonts w:ascii="Arial" w:hAnsi="Arial" w:cs="Arial"/>
                <w:bCs/>
                <w:i/>
                <w:sz w:val="16"/>
                <w:szCs w:val="16"/>
              </w:rPr>
              <w:t>10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i/>
                <w:sz w:val="16"/>
                <w:szCs w:val="16"/>
              </w:rPr>
              <w:t>Rev</w:t>
            </w:r>
            <w:proofErr w:type="spellEnd"/>
            <w:r>
              <w:rPr>
                <w:rFonts w:ascii="Arial" w:hAnsi="Arial" w:cs="Arial"/>
                <w:bCs/>
                <w:i/>
                <w:sz w:val="16"/>
                <w:szCs w:val="16"/>
              </w:rPr>
              <w:t>(</w:t>
            </w:r>
            <w:proofErr w:type="gramEnd"/>
            <w:r w:rsidR="00435967">
              <w:rPr>
                <w:rFonts w:ascii="Arial" w:hAnsi="Arial" w:cs="Arial"/>
                <w:bCs/>
                <w:i/>
                <w:sz w:val="16"/>
                <w:szCs w:val="16"/>
              </w:rPr>
              <w:t>0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)</w:t>
            </w:r>
          </w:p>
        </w:sdtContent>
      </w:sdt>
    </w:sdtContent>
  </w:sdt>
  <w:p w:rsidR="00400858" w:rsidRDefault="004008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2FC" w:rsidRDefault="008732FC" w:rsidP="00F10EF5">
      <w:pPr>
        <w:spacing w:after="0" w:line="240" w:lineRule="auto"/>
      </w:pPr>
      <w:r>
        <w:separator/>
      </w:r>
    </w:p>
  </w:footnote>
  <w:footnote w:type="continuationSeparator" w:id="0">
    <w:p w:rsidR="008732FC" w:rsidRDefault="008732FC" w:rsidP="00F10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44775"/>
    <w:multiLevelType w:val="hybridMultilevel"/>
    <w:tmpl w:val="11066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B3692"/>
    <w:multiLevelType w:val="hybridMultilevel"/>
    <w:tmpl w:val="EA8EDDDC"/>
    <w:lvl w:ilvl="0" w:tplc="7FF664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E367E"/>
    <w:multiLevelType w:val="hybridMultilevel"/>
    <w:tmpl w:val="E8EE85B8"/>
    <w:lvl w:ilvl="0" w:tplc="B484DE9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60F9A"/>
    <w:multiLevelType w:val="hybridMultilevel"/>
    <w:tmpl w:val="5B16C550"/>
    <w:lvl w:ilvl="0" w:tplc="55B0C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9D122D"/>
    <w:multiLevelType w:val="hybridMultilevel"/>
    <w:tmpl w:val="FE06B9EA"/>
    <w:lvl w:ilvl="0" w:tplc="6C9291E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F"/>
    <w:rsid w:val="00004653"/>
    <w:rsid w:val="00016D88"/>
    <w:rsid w:val="00022C81"/>
    <w:rsid w:val="0002316B"/>
    <w:rsid w:val="000510D8"/>
    <w:rsid w:val="00051F6F"/>
    <w:rsid w:val="000553A3"/>
    <w:rsid w:val="00056127"/>
    <w:rsid w:val="000A6B0C"/>
    <w:rsid w:val="000E74BF"/>
    <w:rsid w:val="00115B30"/>
    <w:rsid w:val="001256E2"/>
    <w:rsid w:val="00137EC6"/>
    <w:rsid w:val="001421C8"/>
    <w:rsid w:val="00182660"/>
    <w:rsid w:val="001A5471"/>
    <w:rsid w:val="001C247E"/>
    <w:rsid w:val="001C3DCA"/>
    <w:rsid w:val="001E4DD8"/>
    <w:rsid w:val="00201409"/>
    <w:rsid w:val="00206F6B"/>
    <w:rsid w:val="00211B52"/>
    <w:rsid w:val="00236FB7"/>
    <w:rsid w:val="00262649"/>
    <w:rsid w:val="00262B47"/>
    <w:rsid w:val="00276E4A"/>
    <w:rsid w:val="00281805"/>
    <w:rsid w:val="002B62F6"/>
    <w:rsid w:val="002E015A"/>
    <w:rsid w:val="00341AFC"/>
    <w:rsid w:val="00345C1A"/>
    <w:rsid w:val="0037254A"/>
    <w:rsid w:val="00386B2A"/>
    <w:rsid w:val="003901F0"/>
    <w:rsid w:val="003A1F70"/>
    <w:rsid w:val="003B34E3"/>
    <w:rsid w:val="003B4D34"/>
    <w:rsid w:val="003B5846"/>
    <w:rsid w:val="003D1EA1"/>
    <w:rsid w:val="003D266D"/>
    <w:rsid w:val="003D405F"/>
    <w:rsid w:val="003E24F3"/>
    <w:rsid w:val="003F7E1D"/>
    <w:rsid w:val="00400858"/>
    <w:rsid w:val="00403038"/>
    <w:rsid w:val="00405F7A"/>
    <w:rsid w:val="004133F8"/>
    <w:rsid w:val="00414661"/>
    <w:rsid w:val="00415C94"/>
    <w:rsid w:val="00417C9D"/>
    <w:rsid w:val="00435967"/>
    <w:rsid w:val="00440831"/>
    <w:rsid w:val="004610A4"/>
    <w:rsid w:val="00486459"/>
    <w:rsid w:val="00490ABD"/>
    <w:rsid w:val="004C4768"/>
    <w:rsid w:val="004E2D0D"/>
    <w:rsid w:val="004F00D8"/>
    <w:rsid w:val="004F66D3"/>
    <w:rsid w:val="005167B9"/>
    <w:rsid w:val="005224BF"/>
    <w:rsid w:val="00536007"/>
    <w:rsid w:val="005544F9"/>
    <w:rsid w:val="00556320"/>
    <w:rsid w:val="005A048E"/>
    <w:rsid w:val="005A0FEC"/>
    <w:rsid w:val="005B47EC"/>
    <w:rsid w:val="005B5A3F"/>
    <w:rsid w:val="005C2273"/>
    <w:rsid w:val="00606C88"/>
    <w:rsid w:val="00607985"/>
    <w:rsid w:val="00653F69"/>
    <w:rsid w:val="00654B4E"/>
    <w:rsid w:val="006676C8"/>
    <w:rsid w:val="006D441A"/>
    <w:rsid w:val="006E62CD"/>
    <w:rsid w:val="0071426A"/>
    <w:rsid w:val="007466E1"/>
    <w:rsid w:val="0076381E"/>
    <w:rsid w:val="00763A54"/>
    <w:rsid w:val="00774DF5"/>
    <w:rsid w:val="00794253"/>
    <w:rsid w:val="007B178C"/>
    <w:rsid w:val="007B49A4"/>
    <w:rsid w:val="008260F7"/>
    <w:rsid w:val="0082657F"/>
    <w:rsid w:val="0083292F"/>
    <w:rsid w:val="00836B96"/>
    <w:rsid w:val="00836C31"/>
    <w:rsid w:val="00837F9B"/>
    <w:rsid w:val="00846228"/>
    <w:rsid w:val="00850031"/>
    <w:rsid w:val="008732FC"/>
    <w:rsid w:val="00873749"/>
    <w:rsid w:val="00881F50"/>
    <w:rsid w:val="008C0BDD"/>
    <w:rsid w:val="008C6B80"/>
    <w:rsid w:val="008E2553"/>
    <w:rsid w:val="00941AF7"/>
    <w:rsid w:val="00967BF1"/>
    <w:rsid w:val="00996013"/>
    <w:rsid w:val="009A6746"/>
    <w:rsid w:val="009C6310"/>
    <w:rsid w:val="009D2D39"/>
    <w:rsid w:val="00A00A0F"/>
    <w:rsid w:val="00A20EA5"/>
    <w:rsid w:val="00A51B90"/>
    <w:rsid w:val="00A555DA"/>
    <w:rsid w:val="00A563DA"/>
    <w:rsid w:val="00A566CF"/>
    <w:rsid w:val="00A82B2E"/>
    <w:rsid w:val="00AA724C"/>
    <w:rsid w:val="00AB0832"/>
    <w:rsid w:val="00AB5014"/>
    <w:rsid w:val="00AF0DF8"/>
    <w:rsid w:val="00AF1B33"/>
    <w:rsid w:val="00B00BE8"/>
    <w:rsid w:val="00B15AD9"/>
    <w:rsid w:val="00B43980"/>
    <w:rsid w:val="00B60B7D"/>
    <w:rsid w:val="00B66C3A"/>
    <w:rsid w:val="00B71BD0"/>
    <w:rsid w:val="00B757FB"/>
    <w:rsid w:val="00B82ECC"/>
    <w:rsid w:val="00B92C0B"/>
    <w:rsid w:val="00B96767"/>
    <w:rsid w:val="00BA2F5C"/>
    <w:rsid w:val="00BB1DEB"/>
    <w:rsid w:val="00BE4A7F"/>
    <w:rsid w:val="00C31947"/>
    <w:rsid w:val="00C33857"/>
    <w:rsid w:val="00C37721"/>
    <w:rsid w:val="00C40ACF"/>
    <w:rsid w:val="00C62354"/>
    <w:rsid w:val="00C6400C"/>
    <w:rsid w:val="00C64A75"/>
    <w:rsid w:val="00C6563B"/>
    <w:rsid w:val="00C738D5"/>
    <w:rsid w:val="00C77C07"/>
    <w:rsid w:val="00C853EC"/>
    <w:rsid w:val="00C96A65"/>
    <w:rsid w:val="00CD33D0"/>
    <w:rsid w:val="00CF268A"/>
    <w:rsid w:val="00CF2A57"/>
    <w:rsid w:val="00D107CE"/>
    <w:rsid w:val="00D17528"/>
    <w:rsid w:val="00D52718"/>
    <w:rsid w:val="00D54270"/>
    <w:rsid w:val="00D81226"/>
    <w:rsid w:val="00DC0269"/>
    <w:rsid w:val="00DD1177"/>
    <w:rsid w:val="00DD419B"/>
    <w:rsid w:val="00DE5F59"/>
    <w:rsid w:val="00E05FD9"/>
    <w:rsid w:val="00E51912"/>
    <w:rsid w:val="00E83CD0"/>
    <w:rsid w:val="00EE7163"/>
    <w:rsid w:val="00F026E2"/>
    <w:rsid w:val="00F100C5"/>
    <w:rsid w:val="00F10EF5"/>
    <w:rsid w:val="00F14DA6"/>
    <w:rsid w:val="00F40EAE"/>
    <w:rsid w:val="00F64E4B"/>
    <w:rsid w:val="00FA09B4"/>
    <w:rsid w:val="00FA0A73"/>
    <w:rsid w:val="00FB319F"/>
    <w:rsid w:val="00FE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5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F5"/>
  </w:style>
  <w:style w:type="paragraph" w:styleId="Piedepgina">
    <w:name w:val="footer"/>
    <w:basedOn w:val="Normal"/>
    <w:link w:val="Piedepgina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0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3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D40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B4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A547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EF5"/>
  </w:style>
  <w:style w:type="paragraph" w:styleId="Piedepgina">
    <w:name w:val="footer"/>
    <w:basedOn w:val="Normal"/>
    <w:link w:val="PiedepginaCar"/>
    <w:uiPriority w:val="99"/>
    <w:unhideWhenUsed/>
    <w:rsid w:val="00F10E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05C94-5FFC-4B51-9F17-C7A2C585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Rios Oviedo</dc:creator>
  <cp:lastModifiedBy>Noemi Dolores Montero Avila</cp:lastModifiedBy>
  <cp:revision>3</cp:revision>
  <cp:lastPrinted>2022-08-23T20:13:00Z</cp:lastPrinted>
  <dcterms:created xsi:type="dcterms:W3CDTF">2022-08-23T20:13:00Z</dcterms:created>
  <dcterms:modified xsi:type="dcterms:W3CDTF">2022-08-23T20:18:00Z</dcterms:modified>
</cp:coreProperties>
</file>